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AE" w:rsidRDefault="003B2B63">
      <w:pPr>
        <w:widowContro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2219325" cy="1133475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8AE" w:rsidRDefault="008538AE">
      <w:pPr>
        <w:widowControl w:val="0"/>
        <w:spacing w:after="200"/>
        <w:rPr>
          <w:sz w:val="28"/>
          <w:szCs w:val="28"/>
        </w:rPr>
      </w:pPr>
    </w:p>
    <w:p w:rsidR="008538AE" w:rsidRDefault="003B2B63">
      <w:pPr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Role Description for the Secretary of</w:t>
      </w:r>
      <w:r>
        <w:rPr>
          <w:rFonts w:ascii="Arial" w:eastAsia="Arial" w:hAnsi="Arial" w:cs="Arial"/>
          <w:b/>
          <w:bCs/>
          <w:sz w:val="32"/>
          <w:szCs w:val="32"/>
        </w:rPr>
        <w:br/>
        <w:t>The Friends of the Connection at St Martin-in-the-Fields</w:t>
      </w:r>
    </w:p>
    <w:p w:rsidR="008538AE" w:rsidRDefault="008538AE">
      <w:pPr>
        <w:jc w:val="center"/>
        <w:rPr>
          <w:sz w:val="32"/>
          <w:szCs w:val="32"/>
        </w:rPr>
      </w:pPr>
    </w:p>
    <w:p w:rsidR="008538AE" w:rsidRDefault="003B2B63">
      <w:pPr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Main duties:</w:t>
      </w:r>
    </w:p>
    <w:p w:rsidR="008538AE" w:rsidRDefault="008538AE">
      <w:pPr>
        <w:rPr>
          <w:sz w:val="32"/>
          <w:szCs w:val="32"/>
        </w:rPr>
      </w:pP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To set an annual calendar for meetings of the Executive Committee. 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To arrange and prepare meetings of the Executive Committee, including </w:t>
      </w:r>
      <w:r>
        <w:rPr>
          <w:rFonts w:ascii="Arial" w:eastAsia="Arial" w:hAnsi="Arial" w:cs="Arial"/>
          <w:sz w:val="32"/>
          <w:szCs w:val="32"/>
        </w:rPr>
        <w:t>where necessary booking rooms or other facilities such as video-conferencing.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To maintain an agenda plan for future meetings and to prepare the agenda for each meeting, in consultation with the Chair and other members of the Committee as necessary; 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To cir</w:t>
      </w:r>
      <w:r>
        <w:rPr>
          <w:rFonts w:ascii="Arial" w:eastAsia="Arial" w:hAnsi="Arial" w:cs="Arial"/>
          <w:sz w:val="32"/>
          <w:szCs w:val="32"/>
        </w:rPr>
        <w:t>culate the agenda and all papers for Committee meetings in good time to enable members of the Committee and others invited to prepare properly.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To take full and appropriate minutes of all Committee meetings, to agree these with the Chair and to circulate t</w:t>
      </w:r>
      <w:r>
        <w:rPr>
          <w:rFonts w:ascii="Arial" w:eastAsia="Arial" w:hAnsi="Arial" w:cs="Arial"/>
          <w:sz w:val="32"/>
          <w:szCs w:val="32"/>
        </w:rPr>
        <w:t xml:space="preserve">hem to other Committee members once agreed. To amend them in the light of any agreed comments after discussion at Committee meetings. 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To ensure that agreed minutes are signed by the Chair and filed for record and consultation. 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To keep appropriate records</w:t>
      </w:r>
      <w:r>
        <w:rPr>
          <w:rFonts w:ascii="Arial" w:eastAsia="Arial" w:hAnsi="Arial" w:cs="Arial"/>
          <w:sz w:val="32"/>
          <w:szCs w:val="32"/>
        </w:rPr>
        <w:t xml:space="preserve"> of all Secretarial matters.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To organise the Annual General Meeting, ensuring that notice is given and papers made available to members as required by the Constitution.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To maintain accurate records of the trustees on the Friends’ entry on the Charity Commi</w:t>
      </w:r>
      <w:r>
        <w:rPr>
          <w:rFonts w:ascii="Arial" w:eastAsia="Arial" w:hAnsi="Arial" w:cs="Arial"/>
          <w:sz w:val="32"/>
          <w:szCs w:val="32"/>
        </w:rPr>
        <w:t>ssion website.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To maintain a sufficient knowledge of the Charity Commission’s regulatory requirements as they relate to the Friends and to advise the Chair and the Committee as necessary.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To write the Annual Return required by the Charity Commission and to</w:t>
      </w:r>
      <w:r>
        <w:rPr>
          <w:rFonts w:ascii="Arial" w:eastAsia="Arial" w:hAnsi="Arial" w:cs="Arial"/>
          <w:sz w:val="32"/>
          <w:szCs w:val="32"/>
        </w:rPr>
        <w:t xml:space="preserve"> file the Annual Trustees’ Report and Accounts of the Friends on the Friends’ entry on the Charity Commission website. </w:t>
      </w:r>
    </w:p>
    <w:p w:rsidR="008538AE" w:rsidRDefault="003B2B63">
      <w:pPr>
        <w:numPr>
          <w:ilvl w:val="0"/>
          <w:numId w:val="1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To take other action as required by the Charity Commission. </w:t>
      </w:r>
    </w:p>
    <w:p w:rsidR="008538AE" w:rsidRDefault="008538AE">
      <w:pPr>
        <w:rPr>
          <w:sz w:val="32"/>
          <w:szCs w:val="32"/>
        </w:rPr>
      </w:pPr>
    </w:p>
    <w:p w:rsidR="008538AE" w:rsidRDefault="003B2B63">
      <w:pPr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Other duties:</w:t>
      </w:r>
    </w:p>
    <w:p w:rsidR="008538AE" w:rsidRDefault="008538AE">
      <w:pPr>
        <w:rPr>
          <w:sz w:val="32"/>
          <w:szCs w:val="32"/>
        </w:rPr>
      </w:pPr>
    </w:p>
    <w:p w:rsidR="008538AE" w:rsidRDefault="003B2B63">
      <w:pPr>
        <w:numPr>
          <w:ilvl w:val="0"/>
          <w:numId w:val="2"/>
        </w:numPr>
        <w:pBdr>
          <w:left w:val="none" w:sz="0" w:space="5" w:color="auto"/>
        </w:pBdr>
        <w:ind w:hanging="462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To be responsible for the Friends’ data protection arrangem</w:t>
      </w:r>
      <w:r>
        <w:rPr>
          <w:rFonts w:ascii="Arial" w:eastAsia="Arial" w:hAnsi="Arial" w:cs="Arial"/>
          <w:sz w:val="32"/>
          <w:szCs w:val="32"/>
        </w:rPr>
        <w:t>ents, including producing and updating policies and other documents, and generally advising the Chair and the Committee on these matters.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1"/>
      </w:r>
    </w:p>
    <w:sectPr w:rsidR="008538AE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63" w:rsidRDefault="003B2B63">
      <w:r>
        <w:separator/>
      </w:r>
    </w:p>
  </w:endnote>
  <w:endnote w:type="continuationSeparator" w:id="0">
    <w:p w:rsidR="003B2B63" w:rsidRDefault="003B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63" w:rsidRDefault="003B2B63">
      <w:r>
        <w:separator/>
      </w:r>
    </w:p>
  </w:footnote>
  <w:footnote w:type="continuationSeparator" w:id="0">
    <w:p w:rsidR="003B2B63" w:rsidRDefault="003B2B63">
      <w:r>
        <w:continuationSeparator/>
      </w:r>
    </w:p>
  </w:footnote>
  <w:footnote w:id="1">
    <w:p w:rsidR="008538AE" w:rsidRDefault="003B2B63">
      <w:pPr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>
        <w:rPr>
          <w:rStyle w:val="FootnoteReference"/>
          <w:rFonts w:ascii="Arial" w:eastAsia="Arial" w:hAnsi="Arial" w:cs="Arial"/>
          <w:color w:val="000000"/>
          <w:sz w:val="20"/>
          <w:szCs w:val="20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It is desirable that the Secretary will take responsibility for data protection matters but this is subject to know</w:t>
      </w:r>
      <w:r>
        <w:rPr>
          <w:rFonts w:ascii="Arial" w:eastAsia="Arial" w:hAnsi="Arial" w:cs="Arial"/>
          <w:sz w:val="20"/>
          <w:szCs w:val="20"/>
        </w:rPr>
        <w:t>ledge and experience and is therefore not essential.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A3F0B17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B068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C6F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1A2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42CD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00C4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66EF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EE19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946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84EB83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ACA2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EE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2CB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064D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E676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4E0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8E6F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400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8AE"/>
    <w:rsid w:val="003B2B63"/>
    <w:rsid w:val="00402D65"/>
    <w:rsid w:val="008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4F078-F5BA-45C8-8E53-4378EFF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 Dean</dc:creator>
  <cp:lastModifiedBy>Rupert Dean</cp:lastModifiedBy>
  <cp:revision>2</cp:revision>
  <dcterms:created xsi:type="dcterms:W3CDTF">2020-10-02T14:20:00Z</dcterms:created>
  <dcterms:modified xsi:type="dcterms:W3CDTF">2020-10-02T14:20:00Z</dcterms:modified>
</cp:coreProperties>
</file>